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63989" w:rsidR="003D22BD" w:rsidP="003D22BD" w:rsidRDefault="003D22BD" w14:paraId="314D9B7F" w14:textId="1D7390B0">
      <w:pPr>
        <w:spacing w:after="0" w:line="240" w:lineRule="auto"/>
        <w:jc w:val="center"/>
        <w:rPr>
          <w:rFonts w:ascii="Humanst521 BT" w:hAnsi="Humanst521 BT" w:cs="Arial"/>
          <w:b/>
          <w:lang w:val="es-ES"/>
        </w:rPr>
      </w:pPr>
      <w:r>
        <w:rPr>
          <w:rFonts w:ascii="Humanst521 BT" w:hAnsi="Humanst521 BT" w:cs="Arial"/>
          <w:b/>
          <w:lang w:val="es-ES"/>
        </w:rPr>
        <w:t>RESPUESTAS AL ANALISIS DE CASOS CLINICOS:</w:t>
      </w:r>
    </w:p>
    <w:p w:rsidRPr="00063989" w:rsidR="003D22BD" w:rsidP="003D22BD" w:rsidRDefault="003D22BD" w14:paraId="09532E48" w14:textId="77777777">
      <w:pPr>
        <w:spacing w:after="0" w:line="240" w:lineRule="auto"/>
        <w:jc w:val="both"/>
        <w:rPr>
          <w:rFonts w:ascii="Humanst521 BT" w:hAnsi="Humanst521 BT" w:cs="Arial"/>
          <w:bCs/>
          <w:lang w:val="es-ES"/>
        </w:rPr>
      </w:pPr>
    </w:p>
    <w:p w:rsidRPr="00063989" w:rsidR="003D22BD" w:rsidP="003D22BD" w:rsidRDefault="003D22BD" w14:paraId="57233D26" w14:textId="77777777">
      <w:pPr>
        <w:numPr>
          <w:ilvl w:val="0"/>
          <w:numId w:val="1"/>
        </w:numPr>
        <w:spacing w:after="0" w:line="240" w:lineRule="auto"/>
        <w:jc w:val="both"/>
        <w:rPr>
          <w:rFonts w:ascii="Humanst521 BT" w:hAnsi="Humanst521 BT" w:cs="Arial"/>
          <w:bCs/>
          <w:lang w:val="es-ES"/>
        </w:rPr>
      </w:pPr>
      <w:r w:rsidRPr="00063989">
        <w:rPr>
          <w:rFonts w:ascii="Humanst521 BT" w:hAnsi="Humanst521 BT" w:cs="Arial"/>
          <w:bCs/>
          <w:lang w:val="es-ES"/>
        </w:rPr>
        <w:t xml:space="preserve">No es conveniente vacunar al niño ya que está cursando por una enfermedad febril y la vacuna de la fiebre amarilla está contraindicada en esta situación, en la DPT y en el Polio oral se debe tener precaución por la situación, por lo cual, la madre debe esperar a que se le pase el cuadro y traerlo después. </w:t>
      </w:r>
    </w:p>
    <w:p w:rsidRPr="00063989" w:rsidR="003D22BD" w:rsidP="003D22BD" w:rsidRDefault="003D22BD" w14:paraId="7DEDAF18" w14:textId="77777777">
      <w:pPr>
        <w:spacing w:after="0" w:line="240" w:lineRule="auto"/>
        <w:jc w:val="both"/>
        <w:rPr>
          <w:rFonts w:ascii="Humanst521 BT" w:hAnsi="Humanst521 BT" w:cs="Arial"/>
          <w:bCs/>
          <w:lang w:val="es-ES"/>
        </w:rPr>
      </w:pPr>
    </w:p>
    <w:p w:rsidRPr="00063989" w:rsidR="003D22BD" w:rsidP="003D22BD" w:rsidRDefault="003D22BD" w14:paraId="2263392F" w14:textId="77777777">
      <w:pPr>
        <w:numPr>
          <w:ilvl w:val="0"/>
          <w:numId w:val="1"/>
        </w:numPr>
        <w:spacing w:after="0" w:line="240" w:lineRule="auto"/>
        <w:jc w:val="both"/>
        <w:rPr>
          <w:rFonts w:ascii="Humanst521 BT" w:hAnsi="Humanst521 BT" w:cs="Arial"/>
          <w:bCs/>
          <w:lang w:val="es-ES"/>
        </w:rPr>
      </w:pPr>
      <w:r w:rsidRPr="00063989">
        <w:rPr>
          <w:rFonts w:ascii="Humanst521 BT" w:hAnsi="Humanst521 BT" w:cs="Arial"/>
          <w:bCs/>
          <w:lang w:val="es-ES"/>
        </w:rPr>
        <w:t>Se aplica las siguientes vacunas:</w:t>
      </w:r>
    </w:p>
    <w:p w:rsidRPr="00063989" w:rsidR="003D22BD" w:rsidP="003D22BD" w:rsidRDefault="003D22BD" w14:paraId="53959784" w14:textId="77777777">
      <w:pPr>
        <w:spacing w:after="0" w:line="240" w:lineRule="auto"/>
        <w:jc w:val="both"/>
        <w:rPr>
          <w:rFonts w:ascii="Humanst521 BT" w:hAnsi="Humanst521 BT" w:cs="Arial"/>
          <w:bCs/>
          <w:lang w:val="es-ES"/>
        </w:rPr>
      </w:pPr>
    </w:p>
    <w:p w:rsidRPr="00063989" w:rsidR="003D22BD" w:rsidP="003D22BD" w:rsidRDefault="003D22BD" w14:paraId="2CE27BD2" w14:textId="77777777">
      <w:pPr>
        <w:spacing w:after="0" w:line="240" w:lineRule="auto"/>
        <w:ind w:left="720"/>
        <w:jc w:val="both"/>
        <w:rPr>
          <w:rFonts w:ascii="Humanst521 BT" w:hAnsi="Humanst521 BT" w:cs="Arial"/>
          <w:bCs/>
          <w:lang w:val="es-ES"/>
        </w:rPr>
      </w:pPr>
      <w:r>
        <w:rPr>
          <w:rFonts w:ascii="Humanst521 BT" w:hAnsi="Humanst521 BT" w:cs="Arial"/>
          <w:bCs/>
          <w:lang w:val="es-ES"/>
        </w:rPr>
        <w:t>-</w:t>
      </w:r>
      <w:r w:rsidRPr="00063989">
        <w:rPr>
          <w:rFonts w:ascii="Humanst521 BT" w:hAnsi="Humanst521 BT" w:cs="Arial"/>
          <w:bCs/>
          <w:lang w:val="es-ES"/>
        </w:rPr>
        <w:t>Segundo refuerzo de la DPT: se utiliza la jeringa de 1 ml de 23 G x 1, se llena con 0.5 ml, se aplica por vía intramuscular en el deltoides.</w:t>
      </w:r>
    </w:p>
    <w:p w:rsidRPr="00063989" w:rsidR="003D22BD" w:rsidP="003D22BD" w:rsidRDefault="003D22BD" w14:paraId="07B4EB1A" w14:textId="77777777">
      <w:pPr>
        <w:spacing w:after="0" w:line="240" w:lineRule="auto"/>
        <w:ind w:left="720"/>
        <w:jc w:val="both"/>
        <w:rPr>
          <w:rFonts w:ascii="Humanst521 BT" w:hAnsi="Humanst521 BT" w:cs="Arial"/>
          <w:bCs/>
          <w:lang w:val="es-ES"/>
        </w:rPr>
      </w:pPr>
      <w:r>
        <w:rPr>
          <w:rFonts w:ascii="Humanst521 BT" w:hAnsi="Humanst521 BT" w:cs="Arial"/>
          <w:bCs/>
          <w:lang w:val="es-ES"/>
        </w:rPr>
        <w:t>-</w:t>
      </w:r>
      <w:r w:rsidRPr="00063989">
        <w:rPr>
          <w:rFonts w:ascii="Humanst521 BT" w:hAnsi="Humanst521 BT" w:cs="Arial"/>
          <w:bCs/>
          <w:lang w:val="es-ES"/>
        </w:rPr>
        <w:t>Refuerzo de SRP: se utiliza la jeringa de 1 ml de 25 G x 5/8, se llena con 0.5 ml, se aplica por vía subcutánea en el deltoides.</w:t>
      </w:r>
    </w:p>
    <w:p w:rsidRPr="00063989" w:rsidR="003D22BD" w:rsidP="003D22BD" w:rsidRDefault="003D22BD" w14:paraId="42AC06AF" w14:textId="77777777">
      <w:pPr>
        <w:spacing w:after="0" w:line="240" w:lineRule="auto"/>
        <w:ind w:left="720"/>
        <w:jc w:val="both"/>
        <w:rPr>
          <w:rFonts w:ascii="Humanst521 BT" w:hAnsi="Humanst521 BT" w:cs="Arial"/>
          <w:bCs/>
          <w:lang w:val="es-ES"/>
        </w:rPr>
      </w:pPr>
      <w:r>
        <w:rPr>
          <w:rFonts w:ascii="Humanst521 BT" w:hAnsi="Humanst521 BT" w:cs="Arial"/>
          <w:bCs/>
          <w:lang w:val="es-ES"/>
        </w:rPr>
        <w:t>-</w:t>
      </w:r>
      <w:r w:rsidRPr="00063989">
        <w:rPr>
          <w:rFonts w:ascii="Humanst521 BT" w:hAnsi="Humanst521 BT" w:cs="Arial"/>
          <w:bCs/>
          <w:lang w:val="es-ES"/>
        </w:rPr>
        <w:t>Refuerzo de varicela: se utiliza la jeringa de 1 ml de 25 G x 5/8, se llena con 0.5 ml, se aplica por vía subcutánea en el deltoides.</w:t>
      </w:r>
    </w:p>
    <w:p w:rsidRPr="00063989" w:rsidR="003D22BD" w:rsidP="003D22BD" w:rsidRDefault="003D22BD" w14:paraId="5C8930ED" w14:textId="77777777">
      <w:pPr>
        <w:spacing w:after="0" w:line="240" w:lineRule="auto"/>
        <w:ind w:left="720"/>
        <w:jc w:val="both"/>
        <w:rPr>
          <w:rFonts w:ascii="Humanst521 BT" w:hAnsi="Humanst521 BT" w:cs="Arial"/>
          <w:bCs/>
          <w:lang w:val="es-ES"/>
        </w:rPr>
      </w:pPr>
      <w:r>
        <w:rPr>
          <w:rFonts w:ascii="Humanst521 BT" w:hAnsi="Humanst521 BT" w:cs="Arial"/>
          <w:bCs/>
          <w:lang w:val="es-ES"/>
        </w:rPr>
        <w:t>-</w:t>
      </w:r>
      <w:r w:rsidRPr="00063989">
        <w:rPr>
          <w:rFonts w:ascii="Humanst521 BT" w:hAnsi="Humanst521 BT" w:cs="Arial"/>
          <w:bCs/>
          <w:lang w:val="es-ES"/>
        </w:rPr>
        <w:t>Segundo refuerzo de Polio: No se utiliza jeringa es vía oral, se administran 2 gotas en la boca.</w:t>
      </w:r>
    </w:p>
    <w:p w:rsidRPr="00063989" w:rsidR="003D22BD" w:rsidP="003D22BD" w:rsidRDefault="003D22BD" w14:paraId="1626EDA2" w14:textId="77777777">
      <w:pPr>
        <w:spacing w:after="0" w:line="240" w:lineRule="auto"/>
        <w:jc w:val="both"/>
        <w:rPr>
          <w:rFonts w:ascii="Humanst521 BT" w:hAnsi="Humanst521 BT" w:cs="Arial"/>
          <w:bCs/>
          <w:lang w:val="es-ES"/>
        </w:rPr>
      </w:pPr>
    </w:p>
    <w:p w:rsidRPr="00063989" w:rsidR="003D22BD" w:rsidP="003D22BD" w:rsidRDefault="003D22BD" w14:paraId="6E772B27" w14:textId="77777777">
      <w:pPr>
        <w:numPr>
          <w:ilvl w:val="0"/>
          <w:numId w:val="1"/>
        </w:numPr>
        <w:spacing w:after="0" w:line="240" w:lineRule="auto"/>
        <w:jc w:val="both"/>
        <w:rPr>
          <w:rFonts w:ascii="Humanst521 BT" w:hAnsi="Humanst521 BT" w:cs="Arial"/>
          <w:bCs/>
          <w:lang w:val="es-ES"/>
        </w:rPr>
      </w:pPr>
      <w:r w:rsidRPr="00063989">
        <w:rPr>
          <w:rFonts w:ascii="Humanst521 BT" w:hAnsi="Humanst521 BT" w:cs="Arial"/>
          <w:bCs/>
          <w:lang w:val="es-ES"/>
        </w:rPr>
        <w:t>Se explica al adulto mayor que la vacuna de la influenza estacional sirve para prevenir las gripas ocasionadas por el virus de la influenza que es el agente causal más frecuente de enfermedad respiratoria aguda.</w:t>
      </w:r>
    </w:p>
    <w:p w:rsidRPr="009556A4" w:rsidR="003D22BD" w:rsidP="003D22BD" w:rsidRDefault="003D22BD" w14:paraId="6CBF660F" w14:textId="77777777">
      <w:pPr>
        <w:pStyle w:val="Prrafodelista"/>
        <w:numPr>
          <w:ilvl w:val="0"/>
          <w:numId w:val="2"/>
        </w:numPr>
        <w:spacing w:after="0" w:line="240" w:lineRule="auto"/>
        <w:jc w:val="both"/>
        <w:rPr>
          <w:rFonts w:ascii="Humanst521 BT" w:hAnsi="Humanst521 BT" w:cs="Arial"/>
          <w:bCs/>
          <w:lang w:val="es-ES"/>
        </w:rPr>
      </w:pPr>
      <w:r w:rsidRPr="009556A4">
        <w:rPr>
          <w:rFonts w:ascii="Humanst521 BT" w:hAnsi="Humanst521 BT" w:cs="Arial"/>
          <w:bCs/>
          <w:lang w:val="es-ES"/>
        </w:rPr>
        <w:t>Se utiliza una jeringa de 1ml de 23 G, se llena con 0.5 ml y se aplica por vía intramuscular en el deltoides.</w:t>
      </w:r>
    </w:p>
    <w:p w:rsidRPr="00063989" w:rsidR="003D22BD" w:rsidP="003D22BD" w:rsidRDefault="003D22BD" w14:paraId="05BB4710" w14:textId="77777777">
      <w:pPr>
        <w:spacing w:after="0" w:line="240" w:lineRule="auto"/>
        <w:jc w:val="both"/>
        <w:rPr>
          <w:rFonts w:ascii="Humanst521 BT" w:hAnsi="Humanst521 BT" w:cs="Arial"/>
          <w:bCs/>
          <w:lang w:val="es-ES"/>
        </w:rPr>
      </w:pPr>
    </w:p>
    <w:p w:rsidRPr="00063989" w:rsidR="003D22BD" w:rsidP="003D22BD" w:rsidRDefault="003D22BD" w14:paraId="7CA1DCCB" w14:textId="77777777">
      <w:pPr>
        <w:spacing w:after="0" w:line="240" w:lineRule="auto"/>
        <w:jc w:val="both"/>
        <w:rPr>
          <w:rFonts w:ascii="Humanst521 BT" w:hAnsi="Humanst521 BT" w:cs="Arial"/>
          <w:bCs/>
          <w:lang w:val="es-ES"/>
        </w:rPr>
      </w:pPr>
    </w:p>
    <w:p w:rsidRPr="00063989" w:rsidR="003D22BD" w:rsidP="003D22BD" w:rsidRDefault="003D22BD" w14:paraId="68A0497C" w14:textId="77777777">
      <w:pPr>
        <w:numPr>
          <w:ilvl w:val="0"/>
          <w:numId w:val="1"/>
        </w:numPr>
        <w:spacing w:after="0" w:line="240" w:lineRule="auto"/>
        <w:jc w:val="both"/>
        <w:rPr>
          <w:rFonts w:ascii="Humanst521 BT" w:hAnsi="Humanst521 BT" w:cs="Arial"/>
          <w:bCs/>
          <w:lang w:val="es-ES"/>
        </w:rPr>
      </w:pPr>
      <w:r w:rsidRPr="00063989">
        <w:rPr>
          <w:rFonts w:ascii="Humanst521 BT" w:hAnsi="Humanst521 BT" w:cs="Arial"/>
          <w:bCs/>
          <w:lang w:val="es-ES"/>
        </w:rPr>
        <w:t>La vacuna que se le aplica es:</w:t>
      </w:r>
    </w:p>
    <w:p w:rsidRPr="00063989" w:rsidR="003D22BD" w:rsidP="003D22BD" w:rsidRDefault="003D22BD" w14:paraId="6830100F" w14:textId="77777777">
      <w:pPr>
        <w:spacing w:after="0" w:line="240" w:lineRule="auto"/>
        <w:ind w:left="720"/>
        <w:jc w:val="both"/>
        <w:rPr>
          <w:rFonts w:ascii="Humanst521 BT" w:hAnsi="Humanst521 BT" w:cs="Arial"/>
          <w:bCs/>
          <w:lang w:val="es-ES"/>
        </w:rPr>
      </w:pPr>
      <w:r>
        <w:rPr>
          <w:rFonts w:ascii="Humanst521 BT" w:hAnsi="Humanst521 BT" w:cs="Arial"/>
          <w:bCs/>
          <w:lang w:val="es-ES"/>
        </w:rPr>
        <w:t>-</w:t>
      </w:r>
      <w:proofErr w:type="spellStart"/>
      <w:r w:rsidRPr="00063989">
        <w:rPr>
          <w:rFonts w:ascii="Humanst521 BT" w:hAnsi="Humanst521 BT" w:cs="Arial"/>
          <w:bCs/>
          <w:lang w:val="es-ES"/>
        </w:rPr>
        <w:t>Tdap</w:t>
      </w:r>
      <w:proofErr w:type="spellEnd"/>
      <w:r w:rsidRPr="00063989">
        <w:rPr>
          <w:rFonts w:ascii="Humanst521 BT" w:hAnsi="Humanst521 BT" w:cs="Arial"/>
          <w:bCs/>
          <w:lang w:val="es-ES"/>
        </w:rPr>
        <w:t>: Jeringa prellenada con 0.5 ml, se aplica por vía intramuscular en el deltoides.</w:t>
      </w:r>
    </w:p>
    <w:p w:rsidRPr="00063989" w:rsidR="003D22BD" w:rsidP="003D22BD" w:rsidRDefault="003D22BD" w14:paraId="16E4EC83" w14:textId="77777777">
      <w:pPr>
        <w:spacing w:after="0" w:line="240" w:lineRule="auto"/>
        <w:jc w:val="both"/>
        <w:rPr>
          <w:rFonts w:ascii="Humanst521 BT" w:hAnsi="Humanst521 BT" w:cs="Arial"/>
          <w:bCs/>
          <w:lang w:val="es-ES"/>
        </w:rPr>
      </w:pPr>
    </w:p>
    <w:p w:rsidR="003D22BD" w:rsidP="003D22BD" w:rsidRDefault="003D22BD" w14:paraId="675227FE" w14:textId="77777777">
      <w:pPr>
        <w:numPr>
          <w:ilvl w:val="0"/>
          <w:numId w:val="1"/>
        </w:numPr>
        <w:spacing w:after="0" w:line="240" w:lineRule="auto"/>
        <w:jc w:val="both"/>
        <w:rPr>
          <w:rFonts w:ascii="Humanst521 BT" w:hAnsi="Humanst521 BT" w:cs="Arial"/>
          <w:bCs/>
          <w:lang w:val="es-ES"/>
        </w:rPr>
      </w:pPr>
      <w:r w:rsidRPr="00063989">
        <w:rPr>
          <w:rFonts w:ascii="Humanst521 BT" w:hAnsi="Humanst521 BT" w:cs="Arial"/>
          <w:bCs/>
          <w:lang w:val="es-ES"/>
        </w:rPr>
        <w:t>Se aplica las siguientes vacunas:</w:t>
      </w:r>
    </w:p>
    <w:p w:rsidR="003D22BD" w:rsidP="003D22BD" w:rsidRDefault="003D22BD" w14:paraId="55D52346" w14:textId="77777777">
      <w:pPr>
        <w:spacing w:after="0" w:line="240" w:lineRule="auto"/>
        <w:ind w:left="1080"/>
        <w:jc w:val="both"/>
        <w:rPr>
          <w:rFonts w:ascii="Humanst521 BT" w:hAnsi="Humanst521 BT" w:cs="Arial"/>
          <w:bCs/>
          <w:lang w:val="es-ES"/>
        </w:rPr>
      </w:pPr>
      <w:r>
        <w:rPr>
          <w:rFonts w:ascii="Humanst521 BT" w:hAnsi="Humanst521 BT" w:cs="Arial"/>
          <w:bCs/>
          <w:lang w:val="es-ES"/>
        </w:rPr>
        <w:t>-</w:t>
      </w:r>
      <w:r w:rsidRPr="00063989">
        <w:rPr>
          <w:rFonts w:ascii="Humanst521 BT" w:hAnsi="Humanst521 BT" w:cs="Arial"/>
          <w:bCs/>
          <w:lang w:val="es-ES"/>
        </w:rPr>
        <w:t>SRP: se utiliza la jeringa de 1 ml de 25 G x 5/8, se llena con 0.5 ml, se aplica por vía subcutánea en el deltoides.</w:t>
      </w:r>
    </w:p>
    <w:p w:rsidR="003D22BD" w:rsidP="003D22BD" w:rsidRDefault="003D22BD" w14:paraId="6CB712C3" w14:textId="77777777">
      <w:pPr>
        <w:spacing w:after="0" w:line="240" w:lineRule="auto"/>
        <w:ind w:left="1080"/>
        <w:jc w:val="both"/>
        <w:rPr>
          <w:rFonts w:ascii="Humanst521 BT" w:hAnsi="Humanst521 BT" w:cs="Arial"/>
          <w:bCs/>
          <w:lang w:val="es-ES"/>
        </w:rPr>
      </w:pPr>
      <w:r>
        <w:rPr>
          <w:rFonts w:ascii="Humanst521 BT" w:hAnsi="Humanst521 BT" w:cs="Arial"/>
          <w:bCs/>
          <w:lang w:val="es-ES"/>
        </w:rPr>
        <w:t>-</w:t>
      </w:r>
      <w:r w:rsidRPr="00063989">
        <w:rPr>
          <w:rFonts w:ascii="Humanst521 BT" w:hAnsi="Humanst521 BT" w:cs="Arial"/>
          <w:bCs/>
          <w:lang w:val="es-ES"/>
        </w:rPr>
        <w:t>varicela: se utiliza la jeringa de 1 ml de 25 G x 5/8, se llena con 0.5 ml, se aplica por vía subcutánea en el deltoides.</w:t>
      </w:r>
    </w:p>
    <w:p w:rsidR="003D22BD" w:rsidP="003D22BD" w:rsidRDefault="003D22BD" w14:paraId="4657B6FB" w14:textId="77777777">
      <w:pPr>
        <w:spacing w:after="0" w:line="240" w:lineRule="auto"/>
        <w:ind w:left="1080"/>
        <w:jc w:val="both"/>
        <w:rPr>
          <w:rFonts w:ascii="Humanst521 BT" w:hAnsi="Humanst521 BT" w:cs="Arial"/>
          <w:bCs/>
          <w:lang w:val="es-ES"/>
        </w:rPr>
      </w:pPr>
      <w:r>
        <w:rPr>
          <w:rFonts w:ascii="Humanst521 BT" w:hAnsi="Humanst521 BT" w:cs="Arial"/>
          <w:bCs/>
          <w:lang w:val="es-ES"/>
        </w:rPr>
        <w:t>-</w:t>
      </w:r>
      <w:r w:rsidRPr="00063989">
        <w:rPr>
          <w:rFonts w:ascii="Humanst521 BT" w:hAnsi="Humanst521 BT" w:cs="Arial"/>
          <w:bCs/>
          <w:lang w:val="es-ES"/>
        </w:rPr>
        <w:t>Hepatitis A: Se utiliza una jeringa de 1ml de 23 G, se llena con 0.5 ml y se aplica por vía intramuscular en el deltoides.</w:t>
      </w:r>
    </w:p>
    <w:p w:rsidRPr="00063989" w:rsidR="003D22BD" w:rsidP="003D22BD" w:rsidRDefault="003D22BD" w14:paraId="2E1383A4" w14:textId="77777777">
      <w:pPr>
        <w:spacing w:after="0" w:line="240" w:lineRule="auto"/>
        <w:ind w:left="1080"/>
        <w:jc w:val="both"/>
        <w:rPr>
          <w:rFonts w:ascii="Humanst521 BT" w:hAnsi="Humanst521 BT" w:cs="Arial"/>
          <w:bCs/>
          <w:lang w:val="es-ES"/>
        </w:rPr>
      </w:pPr>
      <w:r>
        <w:rPr>
          <w:rFonts w:ascii="Humanst521 BT" w:hAnsi="Humanst521 BT" w:cs="Arial"/>
          <w:bCs/>
          <w:lang w:val="es-ES"/>
        </w:rPr>
        <w:t>-</w:t>
      </w:r>
      <w:r w:rsidRPr="00063989">
        <w:rPr>
          <w:rFonts w:ascii="Humanst521 BT" w:hAnsi="Humanst521 BT" w:cs="Arial"/>
          <w:bCs/>
          <w:lang w:val="es-ES"/>
        </w:rPr>
        <w:t>Refuerzo de neumococo: Se utiliza una jeringa de 1ml de 23 G, se llena con 0.5 ml y se aplica por vía intramuscular en el deltoides.</w:t>
      </w:r>
    </w:p>
    <w:p w:rsidRPr="002564E0" w:rsidR="003D22BD" w:rsidP="003D22BD" w:rsidRDefault="003D22BD" w14:paraId="3DADF6DB" w14:textId="77777777">
      <w:pPr>
        <w:spacing w:after="0" w:line="240" w:lineRule="auto"/>
        <w:jc w:val="both"/>
        <w:rPr>
          <w:rFonts w:ascii="Humanst521 BT" w:hAnsi="Humanst521 BT" w:cs="Arial"/>
          <w:b/>
          <w:lang w:val="es-CO"/>
        </w:rPr>
      </w:pPr>
    </w:p>
    <w:p w:rsidRPr="00307A9C" w:rsidR="00453436" w:rsidP="0B507032" w:rsidRDefault="00453436" w14:paraId="1C33D2FD" w14:textId="6469C68C">
      <w:pPr>
        <w:spacing w:after="0" w:line="240" w:lineRule="auto"/>
        <w:jc w:val="both"/>
        <w:rPr>
          <w:rFonts w:ascii="Arial" w:hAnsi="Arial" w:eastAsia="Arial" w:cs="Arial"/>
          <w:b w:val="1"/>
          <w:bCs w:val="1"/>
          <w:sz w:val="24"/>
          <w:szCs w:val="24"/>
          <w:lang w:val="es-CO"/>
        </w:rPr>
      </w:pPr>
      <w:r w:rsidRPr="0B507032" w:rsidR="0B507032">
        <w:rPr>
          <w:rFonts w:ascii="Arial" w:hAnsi="Arial" w:eastAsia="Arial" w:cs="Arial"/>
          <w:b w:val="1"/>
          <w:bCs w:val="1"/>
          <w:sz w:val="24"/>
          <w:szCs w:val="24"/>
          <w:lang w:val="es-CO"/>
        </w:rPr>
        <w:t xml:space="preserve">Elaborado por: </w:t>
      </w:r>
      <w:r w:rsidRPr="0B507032" w:rsidR="0B507032">
        <w:rPr>
          <w:rFonts w:ascii="Arial" w:hAnsi="Arial" w:eastAsia="Arial" w:cs="Arial"/>
          <w:i w:val="1"/>
          <w:iCs w:val="1"/>
          <w:sz w:val="24"/>
          <w:szCs w:val="24"/>
          <w:lang w:val="es-CO"/>
        </w:rPr>
        <w:t>Sandy Paola Carvajal Sierra, Escuela de Enfermería, Universidad Industrial de Santander 2020-1.</w:t>
      </w:r>
    </w:p>
    <w:p w:rsidRPr="00A224DB" w:rsidR="003D22BD" w:rsidP="003D22BD" w:rsidRDefault="003D22BD" w14:paraId="55E405F3" w14:textId="77777777">
      <w:pPr>
        <w:jc w:val="both"/>
        <w:rPr>
          <w:lang w:val="es-CO"/>
        </w:rPr>
      </w:pPr>
    </w:p>
    <w:p w:rsidRPr="003D22BD" w:rsidR="00530378" w:rsidRDefault="00530378" w14:paraId="0EA2B991" w14:textId="77777777">
      <w:pPr>
        <w:rPr>
          <w:lang w:val="es-CO"/>
        </w:rPr>
      </w:pPr>
    </w:p>
    <w:sectPr w:rsidRPr="003D22BD" w:rsidR="00530378">
      <w:headerReference w:type="default" r:id="rId7"/>
      <w:pgSz w:w="12240" w:h="15840" w:orient="portrait"/>
      <w:pgMar w:top="1417" w:right="1701" w:bottom="1417" w:left="1701" w:header="708" w:footer="708" w:gutter="0"/>
      <w:cols w:space="708"/>
      <w:docGrid w:linePitch="360"/>
      <w:footerReference w:type="default" r:id="Ra3400f587a4e44d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5D0C" w:rsidP="003D22BD" w:rsidRDefault="00905D0C" w14:paraId="16DF4182" w14:textId="77777777">
      <w:pPr>
        <w:spacing w:after="0" w:line="240" w:lineRule="auto"/>
      </w:pPr>
      <w:r>
        <w:separator/>
      </w:r>
    </w:p>
  </w:endnote>
  <w:endnote w:type="continuationSeparator" w:id="0">
    <w:p w:rsidR="00905D0C" w:rsidP="003D22BD" w:rsidRDefault="00905D0C" w14:paraId="06970B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umanst521 BT">
    <w:altName w:val="Arial"/>
    <w:charset w:val="00"/>
    <w:family w:val="swiss"/>
    <w:pitch w:val="variable"/>
    <w:sig w:usb0="00000001" w:usb1="10000000" w:usb2="00000000" w:usb3="00000000" w:csb0="8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0B507032" w:rsidTr="0B507032" w14:paraId="1559B95B">
      <w:tc>
        <w:tcPr>
          <w:tcW w:w="2945" w:type="dxa"/>
          <w:tcMar/>
        </w:tcPr>
        <w:p w:rsidR="0B507032" w:rsidP="0B507032" w:rsidRDefault="0B507032" w14:paraId="5C58A52B" w14:textId="033AEE95">
          <w:pPr>
            <w:pStyle w:val="Encabezado"/>
            <w:bidi w:val="0"/>
            <w:ind w:left="-115"/>
            <w:jc w:val="left"/>
          </w:pPr>
        </w:p>
      </w:tc>
      <w:tc>
        <w:tcPr>
          <w:tcW w:w="2945" w:type="dxa"/>
          <w:tcMar/>
        </w:tcPr>
        <w:p w:rsidR="0B507032" w:rsidP="0B507032" w:rsidRDefault="0B507032" w14:paraId="052A449F" w14:textId="4F429606">
          <w:pPr>
            <w:pStyle w:val="Encabezado"/>
            <w:bidi w:val="0"/>
            <w:jc w:val="center"/>
          </w:pPr>
        </w:p>
      </w:tc>
      <w:tc>
        <w:tcPr>
          <w:tcW w:w="2945" w:type="dxa"/>
          <w:tcMar/>
        </w:tcPr>
        <w:p w:rsidR="0B507032" w:rsidP="0B507032" w:rsidRDefault="0B507032" w14:paraId="7E4AEBD6" w14:textId="039BEC4F">
          <w:pPr>
            <w:pStyle w:val="Encabezado"/>
            <w:bidi w:val="0"/>
            <w:ind w:right="-115"/>
            <w:jc w:val="right"/>
          </w:pPr>
        </w:p>
      </w:tc>
    </w:tr>
  </w:tbl>
  <w:p w:rsidR="0B507032" w:rsidP="0B507032" w:rsidRDefault="0B507032" w14:paraId="19CF2A81" w14:textId="2C2256DF">
    <w:pPr>
      <w:pStyle w:val="Piedepgin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5D0C" w:rsidP="003D22BD" w:rsidRDefault="00905D0C" w14:paraId="50AA6008" w14:textId="77777777">
      <w:pPr>
        <w:spacing w:after="0" w:line="240" w:lineRule="auto"/>
      </w:pPr>
      <w:r>
        <w:separator/>
      </w:r>
    </w:p>
  </w:footnote>
  <w:footnote w:type="continuationSeparator" w:id="0">
    <w:p w:rsidR="00905D0C" w:rsidP="003D22BD" w:rsidRDefault="00905D0C" w14:paraId="43974E3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D22BD" w:rsidP="003D22BD" w:rsidRDefault="003D22BD" w14:paraId="71F8E625" w14:textId="77777777">
    <w:pPr>
      <w:pStyle w:val="Encabezado"/>
    </w:pPr>
  </w:p>
  <w:p w:rsidR="003D22BD" w:rsidP="003D22BD" w:rsidRDefault="003D22BD" w14:paraId="74A21A2A" w14:textId="15E9D2D9">
    <w:pPr>
      <w:pStyle w:val="Encabezado"/>
      <w:jc w:val="right"/>
    </w:pPr>
    <w:r w:rsidR="0B507032">
      <w:rPr/>
      <w:t xml:space="preserve"> </w:t>
    </w:r>
    <w:r>
      <w:drawing>
        <wp:inline wp14:editId="0B507032" wp14:anchorId="33618F6F">
          <wp:extent cx="1352550" cy="638175"/>
          <wp:effectExtent l="0" t="0" r="0" b="9525"/>
          <wp:docPr id="1" name="Imagen 1" title=""/>
          <wp:cNvGraphicFramePr>
            <a:graphicFrameLocks noChangeAspect="1"/>
          </wp:cNvGraphicFramePr>
          <a:graphic>
            <a:graphicData uri="http://schemas.openxmlformats.org/drawingml/2006/picture">
              <pic:pic>
                <pic:nvPicPr>
                  <pic:cNvPr id="0" name="Imagen 1"/>
                  <pic:cNvPicPr/>
                </pic:nvPicPr>
                <pic:blipFill>
                  <a:blip r:embed="Re8bf906622994e34">
                    <a:extLst xmlns:a="http://schemas.openxmlformats.org/drawingml/2006/main">
                      <a:ext uri="{28A0092B-C50C-407E-A947-70E740481C1C}">
                        <a14:useLocalDpi xmlns:a14="http://schemas.microsoft.com/office/drawing/2010/main" val="0"/>
                      </a:ext>
                    </a:extLst>
                  </a:blip>
                  <a:srcRect l="2678" t="11911" r="78870" b="74590"/>
                  <a:stretch>
                    <a:fillRect/>
                  </a:stretch>
                </pic:blipFill>
                <pic:spPr>
                  <a:xfrm rot="0" flipH="0" flipV="0">
                    <a:off x="0" y="0"/>
                    <a:ext cx="1352550" cy="638175"/>
                  </a:xfrm>
                  <a:prstGeom prst="rect">
                    <a:avLst/>
                  </a:prstGeom>
                </pic:spPr>
              </pic:pic>
            </a:graphicData>
          </a:graphic>
        </wp:inline>
      </w:drawing>
    </w:r>
    <w:r w:rsidR="0B507032">
      <w:rPr/>
      <w:t xml:space="preserve">                                                                             </w:t>
    </w:r>
    <w:r>
      <w:drawing>
        <wp:inline wp14:editId="7059000A" wp14:anchorId="4660077F">
          <wp:extent cx="1095375" cy="676275"/>
          <wp:effectExtent l="0" t="0" r="9525" b="9525"/>
          <wp:docPr id="311345866" name="Imagen 2" title=""/>
          <wp:cNvGraphicFramePr>
            <a:graphicFrameLocks noChangeAspect="1"/>
          </wp:cNvGraphicFramePr>
          <a:graphic>
            <a:graphicData uri="http://schemas.openxmlformats.org/drawingml/2006/picture">
              <pic:pic>
                <pic:nvPicPr>
                  <pic:cNvPr id="0" name="Imagen 2"/>
                  <pic:cNvPicPr/>
                </pic:nvPicPr>
                <pic:blipFill>
                  <a:blip r:embed="R17fcf133a55b459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095375" cy="67627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003D22BD" w:rsidP="003D22BD" w:rsidRDefault="003D22BD" w14:paraId="09D2BFDD" w14:textId="77777777">
    <w:pPr>
      <w:pStyle w:val="Encabezado"/>
      <w:jc w:val="right"/>
    </w:pPr>
  </w:p>
  <w:p w:rsidR="003D22BD" w:rsidRDefault="003D22BD" w14:paraId="48B42225"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F5D90"/>
    <w:multiLevelType w:val="hybridMultilevel"/>
    <w:tmpl w:val="307A3C62"/>
    <w:lvl w:ilvl="0" w:tplc="862CC684">
      <w:numFmt w:val="bullet"/>
      <w:lvlText w:val="-"/>
      <w:lvlJc w:val="left"/>
      <w:pPr>
        <w:ind w:left="1140" w:hanging="360"/>
      </w:pPr>
      <w:rPr>
        <w:rFonts w:hint="default" w:ascii="Humanst521 BT" w:hAnsi="Humanst521 BT" w:cs="Arial" w:eastAsiaTheme="minorHAnsi"/>
      </w:rPr>
    </w:lvl>
    <w:lvl w:ilvl="1" w:tplc="240A0003" w:tentative="1">
      <w:start w:val="1"/>
      <w:numFmt w:val="bullet"/>
      <w:lvlText w:val="o"/>
      <w:lvlJc w:val="left"/>
      <w:pPr>
        <w:ind w:left="1860" w:hanging="360"/>
      </w:pPr>
      <w:rPr>
        <w:rFonts w:hint="default" w:ascii="Courier New" w:hAnsi="Courier New" w:cs="Courier New"/>
      </w:rPr>
    </w:lvl>
    <w:lvl w:ilvl="2" w:tplc="240A0005" w:tentative="1">
      <w:start w:val="1"/>
      <w:numFmt w:val="bullet"/>
      <w:lvlText w:val=""/>
      <w:lvlJc w:val="left"/>
      <w:pPr>
        <w:ind w:left="2580" w:hanging="360"/>
      </w:pPr>
      <w:rPr>
        <w:rFonts w:hint="default" w:ascii="Wingdings" w:hAnsi="Wingdings"/>
      </w:rPr>
    </w:lvl>
    <w:lvl w:ilvl="3" w:tplc="240A0001" w:tentative="1">
      <w:start w:val="1"/>
      <w:numFmt w:val="bullet"/>
      <w:lvlText w:val=""/>
      <w:lvlJc w:val="left"/>
      <w:pPr>
        <w:ind w:left="3300" w:hanging="360"/>
      </w:pPr>
      <w:rPr>
        <w:rFonts w:hint="default" w:ascii="Symbol" w:hAnsi="Symbol"/>
      </w:rPr>
    </w:lvl>
    <w:lvl w:ilvl="4" w:tplc="240A0003" w:tentative="1">
      <w:start w:val="1"/>
      <w:numFmt w:val="bullet"/>
      <w:lvlText w:val="o"/>
      <w:lvlJc w:val="left"/>
      <w:pPr>
        <w:ind w:left="4020" w:hanging="360"/>
      </w:pPr>
      <w:rPr>
        <w:rFonts w:hint="default" w:ascii="Courier New" w:hAnsi="Courier New" w:cs="Courier New"/>
      </w:rPr>
    </w:lvl>
    <w:lvl w:ilvl="5" w:tplc="240A0005" w:tentative="1">
      <w:start w:val="1"/>
      <w:numFmt w:val="bullet"/>
      <w:lvlText w:val=""/>
      <w:lvlJc w:val="left"/>
      <w:pPr>
        <w:ind w:left="4740" w:hanging="360"/>
      </w:pPr>
      <w:rPr>
        <w:rFonts w:hint="default" w:ascii="Wingdings" w:hAnsi="Wingdings"/>
      </w:rPr>
    </w:lvl>
    <w:lvl w:ilvl="6" w:tplc="240A0001" w:tentative="1">
      <w:start w:val="1"/>
      <w:numFmt w:val="bullet"/>
      <w:lvlText w:val=""/>
      <w:lvlJc w:val="left"/>
      <w:pPr>
        <w:ind w:left="5460" w:hanging="360"/>
      </w:pPr>
      <w:rPr>
        <w:rFonts w:hint="default" w:ascii="Symbol" w:hAnsi="Symbol"/>
      </w:rPr>
    </w:lvl>
    <w:lvl w:ilvl="7" w:tplc="240A0003" w:tentative="1">
      <w:start w:val="1"/>
      <w:numFmt w:val="bullet"/>
      <w:lvlText w:val="o"/>
      <w:lvlJc w:val="left"/>
      <w:pPr>
        <w:ind w:left="6180" w:hanging="360"/>
      </w:pPr>
      <w:rPr>
        <w:rFonts w:hint="default" w:ascii="Courier New" w:hAnsi="Courier New" w:cs="Courier New"/>
      </w:rPr>
    </w:lvl>
    <w:lvl w:ilvl="8" w:tplc="240A0005" w:tentative="1">
      <w:start w:val="1"/>
      <w:numFmt w:val="bullet"/>
      <w:lvlText w:val=""/>
      <w:lvlJc w:val="left"/>
      <w:pPr>
        <w:ind w:left="6900" w:hanging="360"/>
      </w:pPr>
      <w:rPr>
        <w:rFonts w:hint="default" w:ascii="Wingdings" w:hAnsi="Wingdings"/>
      </w:rPr>
    </w:lvl>
  </w:abstractNum>
  <w:abstractNum w:abstractNumId="1" w15:restartNumberingAfterBreak="0">
    <w:nsid w:val="6734106A"/>
    <w:multiLevelType w:val="hybridMultilevel"/>
    <w:tmpl w:val="6F88179A"/>
    <w:lvl w:ilvl="0" w:tplc="7A1CFD5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E0"/>
    <w:rsid w:val="002564E0"/>
    <w:rsid w:val="003D22BD"/>
    <w:rsid w:val="00453436"/>
    <w:rsid w:val="00530378"/>
    <w:rsid w:val="00905D0C"/>
    <w:rsid w:val="0B5070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3C1D"/>
  <w15:chartTrackingRefBased/>
  <w15:docId w15:val="{F51E78BF-25BB-4838-8FD6-70D6C1FC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64E0"/>
    <w:rPr>
      <w:lang w:val="en-US"/>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3D22BD"/>
    <w:pPr>
      <w:ind w:left="720"/>
      <w:contextualSpacing/>
    </w:pPr>
  </w:style>
  <w:style w:type="paragraph" w:styleId="Encabezado">
    <w:name w:val="header"/>
    <w:basedOn w:val="Normal"/>
    <w:link w:val="EncabezadoCar"/>
    <w:uiPriority w:val="99"/>
    <w:unhideWhenUsed/>
    <w:rsid w:val="003D22B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D22BD"/>
    <w:rPr>
      <w:lang w:val="en-US"/>
    </w:rPr>
  </w:style>
  <w:style w:type="paragraph" w:styleId="Piedepgina">
    <w:name w:val="footer"/>
    <w:basedOn w:val="Normal"/>
    <w:link w:val="PiedepginaCar"/>
    <w:uiPriority w:val="99"/>
    <w:unhideWhenUsed/>
    <w:rsid w:val="003D22B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D22BD"/>
    <w:rPr>
      <w:lang w:val="en-US"/>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word/footer.xml" Id="Ra3400f587a4e44df" /></Relationships>
</file>

<file path=word/_rels/header1.xml.rels>&#65279;<?xml version="1.0" encoding="utf-8"?><Relationships xmlns="http://schemas.openxmlformats.org/package/2006/relationships"><Relationship Type="http://schemas.openxmlformats.org/officeDocument/2006/relationships/image" Target="/media/image2.png" Id="Re8bf906622994e34" /><Relationship Type="http://schemas.openxmlformats.org/officeDocument/2006/relationships/image" Target="/media/image2.jpg" Id="R17fcf133a55b459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MARTHA ISABEL CAMARGO RAMIREZ</dc:creator>
  <keywords/>
  <dc:description/>
  <lastModifiedBy>sandy Carvajal♥</lastModifiedBy>
  <revision>4</revision>
  <dcterms:created xsi:type="dcterms:W3CDTF">2020-11-12T23:32:00.0000000Z</dcterms:created>
  <dcterms:modified xsi:type="dcterms:W3CDTF">2020-11-13T01:22:13.5025427Z</dcterms:modified>
</coreProperties>
</file>